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
        <w:tblW w:w="10753" w:type="dxa"/>
        <w:tblCellMar>
          <w:left w:w="43" w:type="dxa"/>
          <w:right w:w="43" w:type="dxa"/>
        </w:tblCellMar>
        <w:tblLook w:val="01E0" w:firstRow="1" w:lastRow="1" w:firstColumn="1" w:lastColumn="1" w:noHBand="0" w:noVBand="0"/>
      </w:tblPr>
      <w:tblGrid>
        <w:gridCol w:w="1560"/>
        <w:gridCol w:w="9193"/>
      </w:tblGrid>
      <w:tr w:rsidR="00AF2EEA" w:rsidRPr="00AF2EEA" w14:paraId="779BA730" w14:textId="77777777" w:rsidTr="00432840">
        <w:trPr>
          <w:trHeight w:val="347"/>
        </w:trPr>
        <w:tc>
          <w:tcPr>
            <w:tcW w:w="1560" w:type="dxa"/>
            <w:shd w:val="clear" w:color="auto" w:fill="auto"/>
          </w:tcPr>
          <w:p w14:paraId="71EDC7D7" w14:textId="77777777" w:rsidR="00AF2EEA" w:rsidRPr="00AF2EEA" w:rsidRDefault="00AF2EEA" w:rsidP="00AF2EEA">
            <w:pPr>
              <w:widowControl w:val="0"/>
              <w:tabs>
                <w:tab w:val="left" w:pos="137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AF2EEA">
              <w:rPr>
                <w:rFonts w:ascii="Times New Roman" w:eastAsia="Times New Roman" w:hAnsi="Times New Roman" w:cs="Times New Roman"/>
                <w:b/>
                <w:sz w:val="24"/>
                <w:szCs w:val="20"/>
              </w:rPr>
              <w:t>To:</w:t>
            </w:r>
          </w:p>
        </w:tc>
        <w:tc>
          <w:tcPr>
            <w:tcW w:w="9193" w:type="dxa"/>
            <w:shd w:val="clear" w:color="auto" w:fill="auto"/>
          </w:tcPr>
          <w:p w14:paraId="4A1882EF" w14:textId="77777777" w:rsidR="00AF2EEA" w:rsidRPr="00AF2EEA" w:rsidRDefault="00AF2EEA" w:rsidP="00AF2EEA">
            <w:pPr>
              <w:widowControl w:val="0"/>
              <w:tabs>
                <w:tab w:val="left" w:pos="252"/>
              </w:tabs>
              <w:overflowPunct w:val="0"/>
              <w:autoSpaceDE w:val="0"/>
              <w:autoSpaceDN w:val="0"/>
              <w:adjustRightInd w:val="0"/>
              <w:spacing w:after="0" w:line="240" w:lineRule="auto"/>
              <w:ind w:left="-13"/>
              <w:textAlignment w:val="baseline"/>
              <w:rPr>
                <w:rFonts w:ascii="Arial" w:eastAsia="Times New Roman" w:hAnsi="Arial" w:cs="Arial"/>
                <w:sz w:val="24"/>
                <w:szCs w:val="20"/>
              </w:rPr>
            </w:pPr>
            <w:r w:rsidRPr="00AF2EEA">
              <w:rPr>
                <w:rFonts w:ascii="Arial" w:eastAsia="Times New Roman" w:hAnsi="Arial" w:cs="Arial"/>
                <w:sz w:val="24"/>
                <w:szCs w:val="20"/>
              </w:rPr>
              <w:t>All Physicians, Psychiatrists, Pharmacists, Dentists, Nurse Practitioners, Physician Assistants, Optometrists</w:t>
            </w:r>
          </w:p>
          <w:p w14:paraId="2963E02B" w14:textId="77777777" w:rsidR="00AF2EEA" w:rsidRPr="00AF2EEA" w:rsidRDefault="00AF2EEA" w:rsidP="00AF2EEA">
            <w:pPr>
              <w:widowControl w:val="0"/>
              <w:tabs>
                <w:tab w:val="left" w:pos="252"/>
              </w:tabs>
              <w:overflowPunct w:val="0"/>
              <w:autoSpaceDE w:val="0"/>
              <w:autoSpaceDN w:val="0"/>
              <w:adjustRightInd w:val="0"/>
              <w:spacing w:after="0" w:line="240" w:lineRule="auto"/>
              <w:ind w:left="-13"/>
              <w:textAlignment w:val="baseline"/>
              <w:rPr>
                <w:rFonts w:ascii="Arial" w:eastAsia="Times New Roman" w:hAnsi="Arial" w:cs="Arial"/>
                <w:sz w:val="24"/>
                <w:szCs w:val="20"/>
              </w:rPr>
            </w:pPr>
          </w:p>
        </w:tc>
      </w:tr>
      <w:tr w:rsidR="00AF2EEA" w:rsidRPr="00AF2EEA" w14:paraId="169E39E5" w14:textId="77777777" w:rsidTr="00432840">
        <w:trPr>
          <w:trHeight w:val="570"/>
        </w:trPr>
        <w:tc>
          <w:tcPr>
            <w:tcW w:w="1560" w:type="dxa"/>
            <w:shd w:val="clear" w:color="auto" w:fill="auto"/>
          </w:tcPr>
          <w:p w14:paraId="2969C6EA" w14:textId="77777777" w:rsidR="00AF2EEA" w:rsidRPr="00AF2EEA" w:rsidRDefault="00AF2EEA" w:rsidP="00AF2EEA">
            <w:pPr>
              <w:widowControl w:val="0"/>
              <w:tabs>
                <w:tab w:val="left" w:pos="1377"/>
              </w:tabs>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r w:rsidRPr="00AF2EEA">
              <w:rPr>
                <w:rFonts w:ascii="Times New Roman" w:eastAsia="Times New Roman" w:hAnsi="Times New Roman" w:cs="Times New Roman"/>
                <w:b/>
                <w:sz w:val="24"/>
                <w:szCs w:val="20"/>
              </w:rPr>
              <w:t>Subject:</w:t>
            </w:r>
          </w:p>
        </w:tc>
        <w:tc>
          <w:tcPr>
            <w:tcW w:w="9193" w:type="dxa"/>
            <w:shd w:val="clear" w:color="auto" w:fill="auto"/>
          </w:tcPr>
          <w:p w14:paraId="5A00B6D4" w14:textId="77777777" w:rsidR="00AF2EEA" w:rsidRPr="00AF2EEA" w:rsidRDefault="00AF2EEA" w:rsidP="00AF2EEA">
            <w:pPr>
              <w:widowControl w:val="0"/>
              <w:tabs>
                <w:tab w:val="left" w:pos="252"/>
              </w:tabs>
              <w:overflowPunct w:val="0"/>
              <w:autoSpaceDE w:val="0"/>
              <w:autoSpaceDN w:val="0"/>
              <w:adjustRightInd w:val="0"/>
              <w:spacing w:after="0" w:line="240" w:lineRule="auto"/>
              <w:textAlignment w:val="baseline"/>
              <w:rPr>
                <w:rFonts w:ascii="Arial" w:eastAsia="Times New Roman" w:hAnsi="Arial" w:cs="Arial"/>
                <w:sz w:val="24"/>
                <w:szCs w:val="24"/>
              </w:rPr>
            </w:pPr>
            <w:r w:rsidRPr="00AF2EEA">
              <w:rPr>
                <w:rFonts w:ascii="Arial" w:eastAsia="Times New Roman" w:hAnsi="Arial" w:cs="Arial"/>
                <w:sz w:val="24"/>
                <w:szCs w:val="24"/>
              </w:rPr>
              <w:t>CURES DATABASE REGISTRATION MANDATE</w:t>
            </w:r>
          </w:p>
          <w:p w14:paraId="6872C937" w14:textId="77777777" w:rsidR="00AF2EEA" w:rsidRPr="00AF2EEA" w:rsidRDefault="00AF2EEA" w:rsidP="00AF2EEA">
            <w:pPr>
              <w:widowControl w:val="0"/>
              <w:tabs>
                <w:tab w:val="left" w:pos="252"/>
              </w:tabs>
              <w:overflowPunct w:val="0"/>
              <w:autoSpaceDE w:val="0"/>
              <w:autoSpaceDN w:val="0"/>
              <w:adjustRightInd w:val="0"/>
              <w:spacing w:after="0" w:line="240" w:lineRule="auto"/>
              <w:textAlignment w:val="baseline"/>
              <w:rPr>
                <w:rFonts w:ascii="Arial" w:eastAsia="Times New Roman" w:hAnsi="Arial" w:cs="Arial"/>
                <w:sz w:val="24"/>
                <w:szCs w:val="24"/>
              </w:rPr>
            </w:pPr>
          </w:p>
        </w:tc>
      </w:tr>
      <w:tr w:rsidR="00AF2EEA" w:rsidRPr="00AF2EEA" w14:paraId="65F2523D" w14:textId="77777777" w:rsidTr="00432840">
        <w:trPr>
          <w:trHeight w:val="9432"/>
        </w:trPr>
        <w:tc>
          <w:tcPr>
            <w:tcW w:w="1560" w:type="dxa"/>
            <w:shd w:val="clear" w:color="auto" w:fill="auto"/>
          </w:tcPr>
          <w:p w14:paraId="4F1FC3C8" w14:textId="77777777" w:rsidR="00AF2EEA" w:rsidRPr="00AF2EEA" w:rsidRDefault="00AF2EEA" w:rsidP="00AF2EEA">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0"/>
              </w:rPr>
            </w:pPr>
          </w:p>
        </w:tc>
        <w:tc>
          <w:tcPr>
            <w:tcW w:w="9193" w:type="dxa"/>
            <w:shd w:val="clear" w:color="auto" w:fill="auto"/>
          </w:tcPr>
          <w:p w14:paraId="10A6B556" w14:textId="77777777" w:rsidR="00AF2EEA" w:rsidRPr="00AF2EEA" w:rsidRDefault="00AF2EEA" w:rsidP="00AF2EEA">
            <w:pPr>
              <w:spacing w:after="0" w:line="240" w:lineRule="auto"/>
              <w:rPr>
                <w:rFonts w:ascii="Arial" w:eastAsia="Calibri" w:hAnsi="Arial" w:cs="Times New Roman"/>
                <w:color w:val="000000"/>
                <w:sz w:val="24"/>
                <w:szCs w:val="21"/>
              </w:rPr>
            </w:pPr>
            <w:r w:rsidRPr="00AF2EEA">
              <w:rPr>
                <w:rFonts w:ascii="Arial" w:eastAsia="Calibri" w:hAnsi="Arial" w:cs="Times New Roman"/>
                <w:color w:val="000000"/>
                <w:sz w:val="24"/>
                <w:szCs w:val="21"/>
              </w:rPr>
              <w:t xml:space="preserve">As many of you may know, effective January 1st, 2016, California Health and Safety Code, Section 11165.1 will mandate that all California-licensed health care providers authorized to prescribe, order, administer, furnish or dispense Schedule II, III, or IV controlled substances must be registered to access the Controlled Substance Utilization Review and Evaluation System </w:t>
            </w:r>
            <w:r w:rsidRPr="00AF2EEA">
              <w:rPr>
                <w:rFonts w:ascii="Arial" w:eastAsia="Calibri" w:hAnsi="Arial" w:cs="Times New Roman"/>
                <w:i/>
                <w:color w:val="000000"/>
                <w:sz w:val="24"/>
                <w:szCs w:val="21"/>
              </w:rPr>
              <w:t>(CURES)</w:t>
            </w:r>
            <w:r w:rsidRPr="00AF2EEA">
              <w:rPr>
                <w:rFonts w:ascii="Arial" w:eastAsia="Calibri" w:hAnsi="Arial" w:cs="Times New Roman"/>
                <w:color w:val="000000"/>
                <w:sz w:val="24"/>
                <w:szCs w:val="21"/>
              </w:rPr>
              <w:t>. The Health Insurance Portabili</w:t>
            </w:r>
            <w:r w:rsidR="0065087E">
              <w:rPr>
                <w:rFonts w:ascii="Arial" w:eastAsia="Calibri" w:hAnsi="Arial" w:cs="Times New Roman"/>
                <w:color w:val="000000"/>
                <w:sz w:val="24"/>
                <w:szCs w:val="21"/>
              </w:rPr>
              <w:t>ty and Accountability Act of 199</w:t>
            </w:r>
            <w:r w:rsidRPr="00AF2EEA">
              <w:rPr>
                <w:rFonts w:ascii="Arial" w:eastAsia="Calibri" w:hAnsi="Arial" w:cs="Times New Roman"/>
                <w:color w:val="000000"/>
                <w:sz w:val="24"/>
                <w:szCs w:val="21"/>
              </w:rPr>
              <w:t xml:space="preserve">6 </w:t>
            </w:r>
            <w:r w:rsidRPr="00AF2EEA">
              <w:rPr>
                <w:rFonts w:ascii="Arial" w:eastAsia="Calibri" w:hAnsi="Arial" w:cs="Times New Roman"/>
                <w:i/>
                <w:color w:val="000000"/>
                <w:sz w:val="24"/>
                <w:szCs w:val="21"/>
              </w:rPr>
              <w:t>(HIPAA)</w:t>
            </w:r>
            <w:r w:rsidRPr="00AF2EEA">
              <w:rPr>
                <w:rFonts w:ascii="Arial" w:eastAsia="Calibri" w:hAnsi="Arial" w:cs="Times New Roman"/>
                <w:color w:val="000000"/>
                <w:sz w:val="24"/>
                <w:szCs w:val="21"/>
              </w:rPr>
              <w:t xml:space="preserve"> and all confidentiality and disclosure provisions of California law cover the information contained in CURES. All users must comply with HIPAA Privacy Rule</w:t>
            </w:r>
            <w:bookmarkStart w:id="0" w:name="_GoBack"/>
            <w:bookmarkEnd w:id="0"/>
            <w:r w:rsidRPr="00AF2EEA">
              <w:rPr>
                <w:rFonts w:ascii="Arial" w:eastAsia="Calibri" w:hAnsi="Arial" w:cs="Times New Roman"/>
                <w:color w:val="000000"/>
                <w:sz w:val="24"/>
                <w:szCs w:val="21"/>
              </w:rPr>
              <w:t xml:space="preserve"> Requirements when using CURES.</w:t>
            </w:r>
          </w:p>
          <w:p w14:paraId="66876A5F" w14:textId="77777777" w:rsidR="00AF2EEA" w:rsidRPr="00AF2EEA" w:rsidRDefault="00AF2EEA" w:rsidP="00AF2EEA">
            <w:pPr>
              <w:spacing w:after="0" w:line="240" w:lineRule="auto"/>
              <w:rPr>
                <w:rFonts w:ascii="Arial" w:eastAsia="Calibri" w:hAnsi="Arial" w:cs="Times New Roman"/>
                <w:color w:val="000000"/>
                <w:sz w:val="24"/>
                <w:szCs w:val="21"/>
              </w:rPr>
            </w:pPr>
          </w:p>
          <w:p w14:paraId="7408BF50" w14:textId="77777777" w:rsidR="00AF2EEA" w:rsidRPr="00AF2EEA" w:rsidRDefault="00AF2EEA" w:rsidP="00AF2EEA">
            <w:pPr>
              <w:spacing w:after="0" w:line="240" w:lineRule="auto"/>
              <w:rPr>
                <w:rFonts w:ascii="Arial" w:eastAsia="Calibri" w:hAnsi="Arial" w:cs="Times New Roman"/>
                <w:color w:val="000000"/>
                <w:sz w:val="24"/>
                <w:szCs w:val="21"/>
              </w:rPr>
            </w:pPr>
            <w:r w:rsidRPr="00AF2EEA">
              <w:rPr>
                <w:rFonts w:ascii="Arial" w:eastAsia="Calibri" w:hAnsi="Arial" w:cs="Times New Roman"/>
                <w:color w:val="000000"/>
                <w:sz w:val="24"/>
                <w:szCs w:val="21"/>
              </w:rPr>
              <w:t xml:space="preserve">Registering for CURES access allows clinicians to online access to patients’ controlled substance histories and quickly </w:t>
            </w:r>
            <w:proofErr w:type="gramStart"/>
            <w:r w:rsidRPr="00AF2EEA">
              <w:rPr>
                <w:rFonts w:ascii="Arial" w:eastAsia="Calibri" w:hAnsi="Arial" w:cs="Times New Roman"/>
                <w:color w:val="000000"/>
                <w:sz w:val="24"/>
                <w:szCs w:val="21"/>
              </w:rPr>
              <w:t>review</w:t>
            </w:r>
            <w:proofErr w:type="gramEnd"/>
            <w:r w:rsidRPr="00AF2EEA">
              <w:rPr>
                <w:rFonts w:ascii="Arial" w:eastAsia="Calibri" w:hAnsi="Arial" w:cs="Times New Roman"/>
                <w:color w:val="000000"/>
                <w:sz w:val="24"/>
                <w:szCs w:val="21"/>
              </w:rPr>
              <w:t xml:space="preserve"> information via Patient Activity Reports </w:t>
            </w:r>
            <w:r w:rsidRPr="00AF2EEA">
              <w:rPr>
                <w:rFonts w:ascii="Arial" w:eastAsia="Calibri" w:hAnsi="Arial" w:cs="Times New Roman"/>
                <w:i/>
                <w:color w:val="000000"/>
                <w:sz w:val="24"/>
                <w:szCs w:val="21"/>
              </w:rPr>
              <w:t>(PAR)</w:t>
            </w:r>
            <w:r w:rsidRPr="00AF2EEA">
              <w:rPr>
                <w:rFonts w:ascii="Arial" w:eastAsia="Calibri" w:hAnsi="Arial" w:cs="Times New Roman"/>
                <w:color w:val="000000"/>
                <w:sz w:val="24"/>
                <w:szCs w:val="21"/>
              </w:rPr>
              <w:t xml:space="preserve"> in an effort to identify and deter drug abuse and diversion. This database is a valuable investigative, preventive, and educational tool for the healthcare community, regulatory boards, and law enforcement. </w:t>
            </w:r>
          </w:p>
          <w:p w14:paraId="0EA0431F" w14:textId="77777777" w:rsidR="00AF2EEA" w:rsidRPr="00AF2EEA" w:rsidRDefault="00AF2EEA" w:rsidP="00AF2EEA">
            <w:pPr>
              <w:spacing w:after="0" w:line="240" w:lineRule="auto"/>
              <w:rPr>
                <w:rFonts w:ascii="Arial" w:eastAsia="Calibri" w:hAnsi="Arial" w:cs="Times New Roman"/>
                <w:color w:val="000000"/>
                <w:sz w:val="24"/>
                <w:szCs w:val="21"/>
              </w:rPr>
            </w:pPr>
          </w:p>
          <w:p w14:paraId="353BB4D5" w14:textId="77777777" w:rsidR="00AF2EEA" w:rsidRPr="00AF2EEA" w:rsidRDefault="00AF2EEA" w:rsidP="00AF2EEA">
            <w:pPr>
              <w:spacing w:after="0" w:line="240" w:lineRule="auto"/>
              <w:rPr>
                <w:rFonts w:ascii="Arial" w:eastAsia="Calibri" w:hAnsi="Arial" w:cs="Times New Roman"/>
                <w:color w:val="000000"/>
                <w:sz w:val="24"/>
                <w:szCs w:val="21"/>
              </w:rPr>
            </w:pPr>
            <w:r w:rsidRPr="00AF2EEA">
              <w:rPr>
                <w:rFonts w:ascii="Arial" w:eastAsia="Calibri" w:hAnsi="Arial" w:cs="Times New Roman"/>
                <w:color w:val="000000"/>
                <w:sz w:val="24"/>
                <w:szCs w:val="21"/>
              </w:rPr>
              <w:t xml:space="preserve">In an effort to assist those clinicians affected by the mandate, we would like to provide the following information and steps. While the Department of Justice is developing a streamlined version of CURES registration that does not require a notary, it is recommended that clinicians take steps to register as soon as possible: </w:t>
            </w:r>
          </w:p>
          <w:p w14:paraId="4E952E8A" w14:textId="77777777" w:rsidR="00AF2EEA" w:rsidRPr="00AF2EEA" w:rsidRDefault="00AF2EEA" w:rsidP="00AF2EEA">
            <w:pPr>
              <w:spacing w:after="0" w:line="240" w:lineRule="auto"/>
              <w:rPr>
                <w:rFonts w:ascii="Arial" w:eastAsia="Calibri" w:hAnsi="Arial" w:cs="Times New Roman"/>
                <w:color w:val="000000"/>
                <w:sz w:val="24"/>
                <w:szCs w:val="21"/>
              </w:rPr>
            </w:pPr>
          </w:p>
          <w:p w14:paraId="4C2731D5" w14:textId="77777777" w:rsidR="00AF2EEA" w:rsidRPr="00AF2EEA" w:rsidRDefault="00AF2EEA" w:rsidP="00403CC7">
            <w:pPr>
              <w:spacing w:after="0" w:line="240" w:lineRule="auto"/>
              <w:rPr>
                <w:rFonts w:ascii="Arial" w:eastAsia="Calibri" w:hAnsi="Arial" w:cs="Times New Roman"/>
                <w:b/>
                <w:color w:val="000000"/>
                <w:sz w:val="24"/>
                <w:szCs w:val="21"/>
              </w:rPr>
            </w:pPr>
            <w:r w:rsidRPr="00AF2EEA">
              <w:rPr>
                <w:rFonts w:ascii="Arial" w:eastAsia="Calibri" w:hAnsi="Arial" w:cs="Times New Roman"/>
                <w:b/>
                <w:color w:val="000000"/>
                <w:sz w:val="24"/>
                <w:szCs w:val="21"/>
              </w:rPr>
              <w:t>STEP 1:</w:t>
            </w:r>
          </w:p>
          <w:p w14:paraId="16AFA015" w14:textId="77777777" w:rsidR="00AF2EEA" w:rsidRPr="00AF2EEA" w:rsidRDefault="00AF2EEA" w:rsidP="00403CC7">
            <w:pPr>
              <w:spacing w:after="0" w:line="240" w:lineRule="auto"/>
              <w:rPr>
                <w:rFonts w:ascii="Arial" w:eastAsia="Calibri" w:hAnsi="Arial" w:cs="Times New Roman"/>
                <w:color w:val="000000"/>
                <w:sz w:val="24"/>
                <w:szCs w:val="21"/>
              </w:rPr>
            </w:pPr>
            <w:r w:rsidRPr="00AF2EEA">
              <w:rPr>
                <w:rFonts w:ascii="Arial" w:eastAsia="Calibri" w:hAnsi="Arial" w:cs="Times New Roman"/>
                <w:color w:val="000000"/>
                <w:sz w:val="24"/>
                <w:szCs w:val="21"/>
              </w:rPr>
              <w:t xml:space="preserve">Submit a registration form electronically by going to the website listed below and choosing the correct form. </w:t>
            </w:r>
          </w:p>
          <w:p w14:paraId="6A9D0817" w14:textId="77777777" w:rsidR="00AF2EEA" w:rsidRPr="00AF2EEA" w:rsidRDefault="00AF2EEA" w:rsidP="00403CC7">
            <w:pPr>
              <w:numPr>
                <w:ilvl w:val="0"/>
                <w:numId w:val="1"/>
              </w:numPr>
              <w:overflowPunct w:val="0"/>
              <w:autoSpaceDE w:val="0"/>
              <w:autoSpaceDN w:val="0"/>
              <w:adjustRightInd w:val="0"/>
              <w:spacing w:after="0" w:line="240" w:lineRule="auto"/>
              <w:ind w:left="0"/>
              <w:textAlignment w:val="baseline"/>
              <w:rPr>
                <w:rFonts w:ascii="Arial" w:eastAsia="Calibri" w:hAnsi="Arial" w:cs="Times New Roman"/>
                <w:color w:val="000000"/>
                <w:sz w:val="24"/>
                <w:szCs w:val="21"/>
              </w:rPr>
            </w:pPr>
            <w:r w:rsidRPr="00AF2EEA">
              <w:rPr>
                <w:rFonts w:ascii="Arial" w:eastAsia="Calibri" w:hAnsi="Arial" w:cs="Times New Roman"/>
                <w:color w:val="000000"/>
                <w:sz w:val="24"/>
                <w:szCs w:val="21"/>
              </w:rPr>
              <w:t xml:space="preserve">Be sure to provide an email address that you will be checking over the next 72 hours. </w:t>
            </w:r>
          </w:p>
          <w:p w14:paraId="254C389E" w14:textId="77777777" w:rsidR="00AF2EEA" w:rsidRPr="00AF2EEA" w:rsidRDefault="00AF2EEA" w:rsidP="00403CC7">
            <w:pPr>
              <w:numPr>
                <w:ilvl w:val="0"/>
                <w:numId w:val="1"/>
              </w:numPr>
              <w:overflowPunct w:val="0"/>
              <w:autoSpaceDE w:val="0"/>
              <w:autoSpaceDN w:val="0"/>
              <w:adjustRightInd w:val="0"/>
              <w:spacing w:after="0" w:line="240" w:lineRule="auto"/>
              <w:ind w:left="0"/>
              <w:textAlignment w:val="baseline"/>
              <w:rPr>
                <w:rFonts w:ascii="Arial" w:eastAsia="Calibri" w:hAnsi="Arial" w:cs="Times New Roman"/>
                <w:color w:val="000000"/>
                <w:sz w:val="24"/>
                <w:szCs w:val="21"/>
              </w:rPr>
            </w:pPr>
            <w:r w:rsidRPr="00AF2EEA">
              <w:rPr>
                <w:rFonts w:ascii="Arial" w:eastAsia="Calibri" w:hAnsi="Arial" w:cs="Times New Roman"/>
                <w:color w:val="000000"/>
                <w:sz w:val="24"/>
                <w:szCs w:val="21"/>
              </w:rPr>
              <w:t>DO NOT SIGN THE FORM until you are in the presence of a notary or physically visiting a Medical Board office.</w:t>
            </w:r>
          </w:p>
          <w:p w14:paraId="7824CC34" w14:textId="77777777" w:rsidR="00AF2EEA" w:rsidRPr="00AF2EEA" w:rsidRDefault="00AF2EEA" w:rsidP="00403CC7">
            <w:pPr>
              <w:spacing w:after="0" w:line="240" w:lineRule="auto"/>
              <w:rPr>
                <w:rFonts w:ascii="Arial" w:eastAsia="Calibri" w:hAnsi="Arial" w:cs="Times New Roman"/>
                <w:color w:val="000000"/>
                <w:sz w:val="24"/>
                <w:szCs w:val="21"/>
              </w:rPr>
            </w:pPr>
            <w:r w:rsidRPr="00AF2EEA">
              <w:rPr>
                <w:rFonts w:ascii="Arial" w:eastAsia="Calibri" w:hAnsi="Arial" w:cs="Times New Roman"/>
                <w:color w:val="000000"/>
                <w:sz w:val="24"/>
                <w:szCs w:val="21"/>
              </w:rPr>
              <w:t xml:space="preserve">Website:  </w:t>
            </w:r>
            <w:hyperlink r:id="rId6" w:history="1">
              <w:r w:rsidRPr="00AF2EEA">
                <w:rPr>
                  <w:rFonts w:ascii="Arial" w:eastAsia="Calibri" w:hAnsi="Arial" w:cs="Times New Roman"/>
                  <w:color w:val="0000FF"/>
                  <w:sz w:val="24"/>
                  <w:szCs w:val="21"/>
                  <w:u w:val="single"/>
                </w:rPr>
                <w:t>https://pmp.doj.ca.gov/pmpreg/RegistrationType_input.action#</w:t>
              </w:r>
            </w:hyperlink>
          </w:p>
          <w:p w14:paraId="36BAD9AF" w14:textId="77777777" w:rsidR="00403CC7" w:rsidRDefault="00403CC7" w:rsidP="00AF2EEA">
            <w:pPr>
              <w:spacing w:after="0" w:line="240" w:lineRule="auto"/>
              <w:ind w:left="690"/>
              <w:rPr>
                <w:rFonts w:ascii="Arial" w:eastAsia="Calibri" w:hAnsi="Arial" w:cs="Times New Roman"/>
                <w:b/>
                <w:color w:val="000000"/>
                <w:sz w:val="24"/>
                <w:szCs w:val="21"/>
              </w:rPr>
            </w:pPr>
          </w:p>
          <w:p w14:paraId="393DCC8A" w14:textId="77777777" w:rsidR="00AF2EEA" w:rsidRPr="00AF2EEA" w:rsidRDefault="00AF2EEA" w:rsidP="00403CC7">
            <w:pPr>
              <w:spacing w:after="0" w:line="240" w:lineRule="auto"/>
              <w:rPr>
                <w:rFonts w:ascii="Arial" w:eastAsia="Calibri" w:hAnsi="Arial" w:cs="Times New Roman"/>
                <w:b/>
                <w:color w:val="000000"/>
                <w:sz w:val="24"/>
                <w:szCs w:val="21"/>
              </w:rPr>
            </w:pPr>
            <w:r w:rsidRPr="00AF2EEA">
              <w:rPr>
                <w:rFonts w:ascii="Arial" w:eastAsia="Calibri" w:hAnsi="Arial" w:cs="Times New Roman"/>
                <w:b/>
                <w:color w:val="000000"/>
                <w:sz w:val="24"/>
                <w:szCs w:val="21"/>
              </w:rPr>
              <w:t>STEP2:</w:t>
            </w:r>
          </w:p>
          <w:p w14:paraId="12DCAC4B" w14:textId="77777777" w:rsidR="00AF2EEA" w:rsidRPr="00AF2EEA" w:rsidRDefault="00AF2EEA" w:rsidP="00403CC7">
            <w:pPr>
              <w:spacing w:after="0" w:line="240" w:lineRule="auto"/>
              <w:rPr>
                <w:rFonts w:ascii="Arial" w:eastAsia="Calibri" w:hAnsi="Arial" w:cs="Times New Roman"/>
                <w:color w:val="000000"/>
                <w:sz w:val="24"/>
                <w:szCs w:val="21"/>
              </w:rPr>
            </w:pPr>
            <w:r w:rsidRPr="00AF2EEA">
              <w:rPr>
                <w:rFonts w:ascii="Arial" w:eastAsia="Calibri" w:hAnsi="Arial" w:cs="Times New Roman"/>
                <w:color w:val="000000"/>
                <w:sz w:val="24"/>
                <w:szCs w:val="21"/>
              </w:rPr>
              <w:t>Mail a NOTARIZED signed copy of the printed and signed Application Confirmation to the appropriate address. Non-notarized applications can also be taken in-person to a Medical Board office near you and signed there.</w:t>
            </w:r>
          </w:p>
          <w:p w14:paraId="36CA6AC6" w14:textId="77777777" w:rsidR="00AF2EEA" w:rsidRPr="00AF2EEA" w:rsidRDefault="00AF2EEA" w:rsidP="00403CC7">
            <w:pPr>
              <w:spacing w:after="0" w:line="240" w:lineRule="auto"/>
              <w:rPr>
                <w:rFonts w:ascii="Arial" w:eastAsia="Calibri" w:hAnsi="Arial" w:cs="Times New Roman"/>
                <w:i/>
                <w:color w:val="000000"/>
                <w:sz w:val="24"/>
                <w:szCs w:val="21"/>
              </w:rPr>
            </w:pPr>
          </w:p>
          <w:p w14:paraId="0E6F0A3F" w14:textId="77777777" w:rsidR="00AF2EEA" w:rsidRPr="00AF2EEA" w:rsidRDefault="00AF2EEA" w:rsidP="00AF2EEA">
            <w:pPr>
              <w:spacing w:after="0" w:line="240" w:lineRule="auto"/>
              <w:rPr>
                <w:rFonts w:ascii="Arial" w:eastAsia="Calibri" w:hAnsi="Arial" w:cs="Times New Roman"/>
                <w:b/>
                <w:color w:val="000000"/>
                <w:sz w:val="24"/>
                <w:szCs w:val="21"/>
              </w:rPr>
            </w:pPr>
            <w:r w:rsidRPr="00AF2EEA">
              <w:rPr>
                <w:rFonts w:ascii="Arial" w:eastAsia="Calibri" w:hAnsi="Arial" w:cs="Times New Roman"/>
                <w:b/>
                <w:color w:val="000000"/>
                <w:sz w:val="24"/>
                <w:szCs w:val="21"/>
              </w:rPr>
              <w:t>INCLUDE COPIES OF THE FOLLOWING DOCUMENTATION:</w:t>
            </w:r>
          </w:p>
          <w:p w14:paraId="54E8BDF8" w14:textId="77777777" w:rsidR="00AF2EEA" w:rsidRPr="00AF2EEA" w:rsidRDefault="00AF2EEA" w:rsidP="00AF2EEA">
            <w:pPr>
              <w:spacing w:after="0" w:line="240" w:lineRule="auto"/>
              <w:ind w:left="720"/>
              <w:rPr>
                <w:rFonts w:ascii="Arial" w:eastAsia="Calibri" w:hAnsi="Arial" w:cs="Times New Roman"/>
                <w:i/>
                <w:color w:val="000000"/>
                <w:sz w:val="24"/>
                <w:szCs w:val="21"/>
              </w:rPr>
            </w:pPr>
            <w:r w:rsidRPr="00AF2EEA">
              <w:rPr>
                <w:rFonts w:ascii="Arial" w:eastAsia="Calibri" w:hAnsi="Arial" w:cs="Times New Roman"/>
                <w:color w:val="000000"/>
                <w:sz w:val="24"/>
                <w:szCs w:val="21"/>
              </w:rPr>
              <w:t xml:space="preserve">DEA Registration certificate </w:t>
            </w:r>
            <w:r w:rsidRPr="00AF2EEA">
              <w:rPr>
                <w:rFonts w:ascii="Arial" w:eastAsia="Calibri" w:hAnsi="Arial" w:cs="Times New Roman"/>
                <w:i/>
                <w:color w:val="000000"/>
                <w:sz w:val="24"/>
                <w:szCs w:val="21"/>
              </w:rPr>
              <w:t>(prescribers only)</w:t>
            </w:r>
          </w:p>
          <w:p w14:paraId="7FCCBDF0" w14:textId="77777777" w:rsidR="00AF2EEA" w:rsidRPr="00AF2EEA" w:rsidRDefault="00AF2EEA" w:rsidP="00AF2EEA">
            <w:pPr>
              <w:spacing w:after="0" w:line="240" w:lineRule="auto"/>
              <w:ind w:left="720"/>
              <w:rPr>
                <w:rFonts w:ascii="Arial" w:eastAsia="Calibri" w:hAnsi="Arial" w:cs="Times New Roman"/>
                <w:color w:val="000000"/>
                <w:sz w:val="24"/>
                <w:szCs w:val="21"/>
              </w:rPr>
            </w:pPr>
            <w:r w:rsidRPr="00AF2EEA">
              <w:rPr>
                <w:rFonts w:ascii="Arial" w:eastAsia="Calibri" w:hAnsi="Arial" w:cs="Times New Roman"/>
                <w:color w:val="000000"/>
                <w:sz w:val="24"/>
                <w:szCs w:val="21"/>
              </w:rPr>
              <w:t>Medical or Pharmacist license</w:t>
            </w:r>
          </w:p>
          <w:p w14:paraId="6C9FA123" w14:textId="77777777" w:rsidR="00AF2EEA" w:rsidRPr="00AF2EEA" w:rsidRDefault="00AF2EEA" w:rsidP="00AF2EEA">
            <w:pPr>
              <w:spacing w:after="0" w:line="240" w:lineRule="auto"/>
              <w:ind w:left="720"/>
              <w:rPr>
                <w:rFonts w:ascii="Arial" w:eastAsia="Calibri" w:hAnsi="Arial" w:cs="Times New Roman"/>
                <w:color w:val="000000"/>
                <w:sz w:val="24"/>
                <w:szCs w:val="21"/>
              </w:rPr>
            </w:pPr>
            <w:r w:rsidRPr="00AF2EEA">
              <w:rPr>
                <w:rFonts w:ascii="Arial" w:eastAsia="Calibri" w:hAnsi="Arial" w:cs="Times New Roman"/>
                <w:color w:val="000000"/>
                <w:sz w:val="24"/>
                <w:szCs w:val="21"/>
              </w:rPr>
              <w:t>Government-issued photo identification</w:t>
            </w:r>
          </w:p>
          <w:p w14:paraId="42F5ACC8" w14:textId="77777777" w:rsidR="00AF2EEA" w:rsidRPr="00AF2EEA" w:rsidRDefault="00AF2EEA" w:rsidP="00403CC7">
            <w:pPr>
              <w:widowControl w:val="0"/>
              <w:tabs>
                <w:tab w:val="left" w:pos="252"/>
              </w:tabs>
              <w:overflowPunct w:val="0"/>
              <w:autoSpaceDE w:val="0"/>
              <w:autoSpaceDN w:val="0"/>
              <w:adjustRightInd w:val="0"/>
              <w:spacing w:after="0" w:line="240" w:lineRule="auto"/>
              <w:textAlignment w:val="baseline"/>
              <w:rPr>
                <w:rFonts w:ascii="Arial" w:eastAsia="Times New Roman" w:hAnsi="Arial" w:cs="Arial"/>
                <w:sz w:val="24"/>
                <w:szCs w:val="24"/>
              </w:rPr>
            </w:pPr>
          </w:p>
        </w:tc>
      </w:tr>
    </w:tbl>
    <w:p w14:paraId="1C49E958" w14:textId="77777777" w:rsidR="002E7421" w:rsidRDefault="002E7421"/>
    <w:sectPr w:rsidR="002E7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04C8"/>
    <w:multiLevelType w:val="hybridMultilevel"/>
    <w:tmpl w:val="6A220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EA"/>
    <w:rsid w:val="002E7421"/>
    <w:rsid w:val="00403CC7"/>
    <w:rsid w:val="0065087E"/>
    <w:rsid w:val="007567D3"/>
    <w:rsid w:val="007C15E3"/>
    <w:rsid w:val="00AB6F86"/>
    <w:rsid w:val="00AF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D0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mp.doj.ca.gov/pmpreg/RegistrationType_input.ac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354</Words>
  <Characters>2020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State Hospitals</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dshuser</dc:creator>
  <cp:lastModifiedBy>Anthony M. Kassir</cp:lastModifiedBy>
  <cp:revision>2</cp:revision>
  <dcterms:created xsi:type="dcterms:W3CDTF">2015-09-16T20:16:00Z</dcterms:created>
  <dcterms:modified xsi:type="dcterms:W3CDTF">2015-09-23T03:03:00Z</dcterms:modified>
</cp:coreProperties>
</file>